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74FEA">
        <w:rPr>
          <w:sz w:val="28"/>
          <w:szCs w:val="28"/>
        </w:rPr>
        <w:t>2</w:t>
      </w:r>
      <w:r w:rsidR="00315B22">
        <w:rPr>
          <w:sz w:val="28"/>
          <w:szCs w:val="28"/>
        </w:rPr>
        <w:t>5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5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1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315B22">
        <w:rPr>
          <w:bCs/>
          <w:sz w:val="28"/>
          <w:szCs w:val="28"/>
        </w:rPr>
        <w:t>тала 53:14:0100402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Чапаева (под многоквартирным домом № 1)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  кадастрового квартала 53:14:0100402,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>. Пестово, ул. Чапаева (под многоквартирным домом № 1)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97321"/>
    <w:rsid w:val="004217DA"/>
    <w:rsid w:val="00496017"/>
    <w:rsid w:val="004E19BF"/>
    <w:rsid w:val="005056C6"/>
    <w:rsid w:val="00554D1D"/>
    <w:rsid w:val="00586C28"/>
    <w:rsid w:val="005A5E2E"/>
    <w:rsid w:val="005B428D"/>
    <w:rsid w:val="00607B02"/>
    <w:rsid w:val="00656D7E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A1470"/>
    <w:rsid w:val="00BD304C"/>
    <w:rsid w:val="00BD62A0"/>
    <w:rsid w:val="00BE3F12"/>
    <w:rsid w:val="00C222DA"/>
    <w:rsid w:val="00CC38AB"/>
    <w:rsid w:val="00CE10DB"/>
    <w:rsid w:val="00D11121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2023-08-16T11:58:00Z</cp:lastPrinted>
  <dcterms:created xsi:type="dcterms:W3CDTF">2018-12-03T08:56:00Z</dcterms:created>
  <dcterms:modified xsi:type="dcterms:W3CDTF">2023-08-30T06:17:00Z</dcterms:modified>
</cp:coreProperties>
</file>